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1EADD6" w14:textId="77777777" w:rsidR="007A46CE" w:rsidRDefault="007F6CD3">
      <w:pPr>
        <w:rPr>
          <w:rFonts w:cs="Arial"/>
        </w:rPr>
      </w:pPr>
      <w:r>
        <w:rPr>
          <w:rFonts w:cs="Arial"/>
        </w:rPr>
        <w:t xml:space="preserve">Recent analyses have explored relationships among </w:t>
      </w:r>
      <w:r w:rsidRPr="00E861B3">
        <w:rPr>
          <w:rFonts w:cs="Arial"/>
          <w:i/>
        </w:rPr>
        <w:t>Micropterus</w:t>
      </w:r>
      <w:r>
        <w:rPr>
          <w:rFonts w:cs="Arial"/>
        </w:rPr>
        <w:t xml:space="preserve"> species on a molecular level. Stark and Echelle (1998), </w:t>
      </w:r>
      <w:r w:rsidRPr="008D0CC6">
        <w:rPr>
          <w:rFonts w:cs="Arial"/>
        </w:rPr>
        <w:t>Johnson, Magee, and Hodge</w:t>
      </w:r>
      <w:r>
        <w:rPr>
          <w:rFonts w:cs="Arial"/>
        </w:rPr>
        <w:t xml:space="preserve"> (2001), Kassler et al. (2002), and Near et al. (2003), to name a few, have made significant strides in deciphering connections among lineages (Bagley et al. 2011). Fish biologists still lack a complete picture</w:t>
      </w:r>
      <w:r w:rsidRPr="007B2EB0">
        <w:rPr>
          <w:rFonts w:cs="Arial"/>
        </w:rPr>
        <w:t xml:space="preserve"> of the </w:t>
      </w:r>
      <w:r w:rsidRPr="007B2EB0">
        <w:rPr>
          <w:rFonts w:cs="Arial"/>
          <w:i/>
        </w:rPr>
        <w:t>Micropterus</w:t>
      </w:r>
      <w:r w:rsidRPr="007B2EB0">
        <w:rPr>
          <w:rFonts w:cs="Arial"/>
        </w:rPr>
        <w:t xml:space="preserve"> genus </w:t>
      </w:r>
      <w:r>
        <w:rPr>
          <w:rFonts w:cs="Arial"/>
        </w:rPr>
        <w:t xml:space="preserve">despite this forward momentum </w:t>
      </w:r>
      <w:r w:rsidRPr="007B2EB0">
        <w:rPr>
          <w:rFonts w:cs="Arial"/>
        </w:rPr>
        <w:t>(Kassler et al. 2002)</w:t>
      </w:r>
      <w:r>
        <w:rPr>
          <w:rFonts w:cs="Arial"/>
        </w:rPr>
        <w:t>, but genetics have allowed them to make phylogenetic hypotheses. In general, it</w:t>
      </w:r>
      <w:r w:rsidRPr="007B2EB0">
        <w:rPr>
          <w:rFonts w:cs="Arial"/>
        </w:rPr>
        <w:t xml:space="preserve"> </w:t>
      </w:r>
      <w:r>
        <w:rPr>
          <w:rFonts w:cs="Arial"/>
        </w:rPr>
        <w:t xml:space="preserve">is </w:t>
      </w:r>
      <w:r w:rsidRPr="007B2EB0">
        <w:rPr>
          <w:rFonts w:cs="Arial"/>
        </w:rPr>
        <w:t>hypothesized that speciation among the black basses is a product of glaciation and climate fluctuati</w:t>
      </w:r>
      <w:r>
        <w:rPr>
          <w:rFonts w:cs="Arial"/>
        </w:rPr>
        <w:t>ons during the Pleistocene</w:t>
      </w:r>
      <w:r w:rsidRPr="007B2EB0">
        <w:rPr>
          <w:rFonts w:cs="Arial"/>
        </w:rPr>
        <w:t xml:space="preserve"> (Miller 1965). This model, which suggests that species moved into isolated glacial refugia and subsequently diverged (Borden and Krebs 2009), helps to explain the broad geographic distribution of the smallmouth basses (Near et al. 2003). </w:t>
      </w:r>
      <w:r>
        <w:rPr>
          <w:rFonts w:cs="Arial"/>
        </w:rPr>
        <w:t xml:space="preserve">In particular, this model suggests that the slight differences in </w:t>
      </w:r>
      <w:r w:rsidRPr="0060155E">
        <w:rPr>
          <w:rFonts w:cs="Arial"/>
          <w:i/>
        </w:rPr>
        <w:t>Micropterus</w:t>
      </w:r>
      <w:r>
        <w:rPr>
          <w:rFonts w:cs="Arial"/>
        </w:rPr>
        <w:t xml:space="preserve"> morphology are attributable to allopatric mechanisms of diversification rather than adaptation </w:t>
      </w:r>
      <w:r w:rsidRPr="00542E80">
        <w:rPr>
          <w:rFonts w:cs="Arial"/>
        </w:rPr>
        <w:t>(Lynch</w:t>
      </w:r>
      <w:r w:rsidRPr="001F79D5">
        <w:rPr>
          <w:rFonts w:cs="Arial"/>
        </w:rPr>
        <w:t xml:space="preserve"> 1989; Barraclough and Vogler 2000; Schluter 2000</w:t>
      </w:r>
      <w:r>
        <w:rPr>
          <w:rFonts w:cs="Arial"/>
        </w:rPr>
        <w:t xml:space="preserve">). Glacial recession and advancement in the Pleistocene probably forged natural separations between </w:t>
      </w:r>
      <w:r w:rsidRPr="00542E80">
        <w:rPr>
          <w:rFonts w:cs="Arial"/>
          <w:i/>
        </w:rPr>
        <w:t>Micropterus</w:t>
      </w:r>
      <w:r>
        <w:rPr>
          <w:rFonts w:cs="Arial"/>
        </w:rPr>
        <w:t xml:space="preserve"> species, eventually allowing them to diversify. There are still discrepancies and incongruences among the current phylogenetic hypotheses (</w:t>
      </w:r>
      <w:r w:rsidRPr="001F79D5">
        <w:rPr>
          <w:rFonts w:cs="Arial"/>
        </w:rPr>
        <w:t>Avise et al. 1977</w:t>
      </w:r>
      <w:r>
        <w:rPr>
          <w:rFonts w:cs="Arial"/>
        </w:rPr>
        <w:t xml:space="preserve">; Mabee 1993), but frequent advancements in bioinformatics give impetus to continued progress. Figure 2 shows four potential topographies for the phylogenetic relationships among recognized </w:t>
      </w:r>
      <w:r w:rsidRPr="001F79D5">
        <w:rPr>
          <w:rFonts w:cs="Arial"/>
          <w:i/>
        </w:rPr>
        <w:t>Micropterus</w:t>
      </w:r>
      <w:r>
        <w:rPr>
          <w:rFonts w:cs="Arial"/>
        </w:rPr>
        <w:t xml:space="preserve"> species.</w:t>
      </w:r>
    </w:p>
    <w:p w14:paraId="60FFA602" w14:textId="77777777" w:rsidR="007F6CD3" w:rsidRDefault="007F6CD3">
      <w:pPr>
        <w:rPr>
          <w:rFonts w:cs="Arial"/>
        </w:rPr>
      </w:pPr>
    </w:p>
    <w:p w14:paraId="4A908E91" w14:textId="77777777" w:rsidR="007F6CD3" w:rsidRPr="00330951" w:rsidRDefault="007F6CD3" w:rsidP="007F6CD3">
      <w:pPr>
        <w:rPr>
          <w:rFonts w:cs="Arial"/>
          <w:sz w:val="20"/>
        </w:rPr>
      </w:pPr>
      <w:r w:rsidRPr="00F63A18">
        <w:rPr>
          <w:rFonts w:cs="Arial"/>
          <w:b/>
          <w:sz w:val="20"/>
        </w:rPr>
        <w:t>Figure 2</w:t>
      </w:r>
      <w:r>
        <w:rPr>
          <w:rFonts w:cs="Arial"/>
          <w:sz w:val="20"/>
        </w:rPr>
        <w:t xml:space="preserve">. </w:t>
      </w:r>
      <w:r w:rsidRPr="00330951">
        <w:rPr>
          <w:rFonts w:cs="Arial"/>
          <w:sz w:val="20"/>
        </w:rPr>
        <w:t xml:space="preserve">Four possible phylogenies relating recognized species of </w:t>
      </w:r>
      <w:r w:rsidRPr="00330951">
        <w:rPr>
          <w:rFonts w:cs="Arial"/>
          <w:i/>
          <w:sz w:val="20"/>
        </w:rPr>
        <w:t>Micropterus</w:t>
      </w:r>
      <w:r w:rsidRPr="00330951">
        <w:rPr>
          <w:rFonts w:cs="Arial"/>
          <w:sz w:val="20"/>
        </w:rPr>
        <w:t>. Trees A and B are based exclusively on morphological characters (A; Branson and Moore 1962, B; Ramsey 1975). Tree C is based on molecular comparisons with varying levels of character sampling. Tree D is a consensus tree showing relationships recovered by Kassler et al. 2002, Near et al. 2003, Near et al. 2004, and Near et al. 2005. Figure from Bagley et al. 2011.</w:t>
      </w:r>
    </w:p>
    <w:p w14:paraId="6BDE261D" w14:textId="56D5F715" w:rsidR="00CC190F" w:rsidRDefault="00CC190F">
      <w:r w:rsidRPr="00F63A18">
        <w:rPr>
          <w:rFonts w:cs="Arial"/>
          <w:noProof/>
        </w:rPr>
        <w:drawing>
          <wp:anchor distT="0" distB="0" distL="114300" distR="114300" simplePos="0" relativeHeight="251659264" behindDoc="0" locked="0" layoutInCell="1" allowOverlap="1" wp14:anchorId="4DEFA7C8" wp14:editId="1E0AEB7D">
            <wp:simplePos x="0" y="0"/>
            <wp:positionH relativeFrom="column">
              <wp:posOffset>966470</wp:posOffset>
            </wp:positionH>
            <wp:positionV relativeFrom="paragraph">
              <wp:posOffset>187960</wp:posOffset>
            </wp:positionV>
            <wp:extent cx="3773170" cy="3644900"/>
            <wp:effectExtent l="0" t="0" r="11430" b="1270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9533" r="20669"/>
                    <a:stretch/>
                  </pic:blipFill>
                  <pic:spPr bwMode="auto">
                    <a:xfrm>
                      <a:off x="0" y="0"/>
                      <a:ext cx="3773170" cy="3644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69240A" w14:textId="385CAFED" w:rsidR="00CC190F" w:rsidRDefault="00CC190F"/>
    <w:p w14:paraId="10987711" w14:textId="26732761" w:rsidR="00CC190F" w:rsidRDefault="00CC190F"/>
    <w:p w14:paraId="441C7C13" w14:textId="77777777" w:rsidR="00CC190F" w:rsidRDefault="00CC190F"/>
    <w:p w14:paraId="13D0C7E3" w14:textId="77777777" w:rsidR="00CC190F" w:rsidRDefault="00CC190F"/>
    <w:p w14:paraId="4B9100EB" w14:textId="77777777" w:rsidR="00CC190F" w:rsidRDefault="00CC190F"/>
    <w:p w14:paraId="14DD0CB8" w14:textId="77777777" w:rsidR="00CC190F" w:rsidRDefault="00CC190F"/>
    <w:p w14:paraId="7F3D9E0C" w14:textId="77777777" w:rsidR="00CC190F" w:rsidRDefault="00CC190F"/>
    <w:p w14:paraId="79E51CD4" w14:textId="2ED54672" w:rsidR="00CC190F" w:rsidRDefault="00CC190F"/>
    <w:p w14:paraId="658FF590" w14:textId="77777777" w:rsidR="00CC190F" w:rsidRDefault="00CC190F"/>
    <w:p w14:paraId="5ECC7B97" w14:textId="77777777" w:rsidR="00CC190F" w:rsidRDefault="00CC190F"/>
    <w:p w14:paraId="65AE275F" w14:textId="77777777" w:rsidR="00CC190F" w:rsidRDefault="00CC190F"/>
    <w:p w14:paraId="65294758" w14:textId="77777777" w:rsidR="00CC190F" w:rsidRDefault="00CC190F"/>
    <w:p w14:paraId="7BA2E105" w14:textId="77777777" w:rsidR="00CC190F" w:rsidRDefault="00CC190F"/>
    <w:p w14:paraId="329F65CB" w14:textId="77777777" w:rsidR="00CC190F" w:rsidRDefault="00CC190F"/>
    <w:p w14:paraId="2810E2A8" w14:textId="77777777" w:rsidR="00CC190F" w:rsidRDefault="00CC190F"/>
    <w:p w14:paraId="2AD40C91" w14:textId="77777777" w:rsidR="00CC190F" w:rsidRDefault="00CC190F"/>
    <w:p w14:paraId="23F8D801" w14:textId="77777777" w:rsidR="00CC190F" w:rsidRDefault="00CC190F">
      <w:pPr>
        <w:rPr>
          <w:rFonts w:cs="Arial"/>
        </w:rPr>
      </w:pPr>
    </w:p>
    <w:p w14:paraId="1C835DAE" w14:textId="77777777" w:rsidR="00CC190F" w:rsidRDefault="00CC190F">
      <w:pPr>
        <w:rPr>
          <w:rFonts w:cs="Arial"/>
        </w:rPr>
      </w:pPr>
    </w:p>
    <w:p w14:paraId="76ADA257" w14:textId="77777777" w:rsidR="00CC190F" w:rsidRDefault="00CC190F">
      <w:pPr>
        <w:rPr>
          <w:rFonts w:cs="Arial"/>
        </w:rPr>
      </w:pPr>
    </w:p>
    <w:p w14:paraId="7E39E467" w14:textId="77777777" w:rsidR="00CC190F" w:rsidRDefault="00CC190F">
      <w:pPr>
        <w:rPr>
          <w:rFonts w:cs="Arial"/>
        </w:rPr>
      </w:pPr>
    </w:p>
    <w:p w14:paraId="0DFC4CEA" w14:textId="77777777" w:rsidR="00CC190F" w:rsidRDefault="00CC190F">
      <w:pPr>
        <w:rPr>
          <w:rFonts w:cs="Arial"/>
        </w:rPr>
      </w:pPr>
    </w:p>
    <w:p w14:paraId="26BA2379" w14:textId="36B7FF12" w:rsidR="007F6CD3" w:rsidRDefault="00CC190F">
      <w:pPr>
        <w:rPr>
          <w:rFonts w:cs="Arial"/>
        </w:rPr>
      </w:pPr>
      <w:r>
        <w:rPr>
          <w:rFonts w:cs="Arial"/>
        </w:rPr>
        <w:t xml:space="preserve">Both Smallmouth subspecies </w:t>
      </w:r>
      <w:r w:rsidRPr="007B2EB0">
        <w:rPr>
          <w:rFonts w:cs="Arial"/>
        </w:rPr>
        <w:t xml:space="preserve">are potentially vulnerable to the effects of interbreeding with non-native </w:t>
      </w:r>
      <w:r>
        <w:rPr>
          <w:rFonts w:cs="Arial"/>
        </w:rPr>
        <w:t xml:space="preserve">forms. The </w:t>
      </w:r>
      <w:r w:rsidRPr="007B2EB0">
        <w:rPr>
          <w:rFonts w:cs="Arial"/>
        </w:rPr>
        <w:t>effects of stocking non-native congeners together, such as hybridization, genetic introgression, and backcrossing, can severely dampen the genetic uniqueness of a population</w:t>
      </w:r>
      <w:r w:rsidRPr="007B2EB0">
        <w:rPr>
          <w:rFonts w:cs="Arial"/>
          <w:b/>
        </w:rPr>
        <w:t xml:space="preserve"> </w:t>
      </w:r>
      <w:r w:rsidRPr="000F5D50">
        <w:rPr>
          <w:rFonts w:cs="Arial"/>
        </w:rPr>
        <w:t>(</w:t>
      </w:r>
      <w:r w:rsidRPr="00BE6C43">
        <w:rPr>
          <w:rFonts w:cs="Arial"/>
          <w:highlight w:val="yellow"/>
        </w:rPr>
        <w:t>Barwick et al. 2006</w:t>
      </w:r>
      <w:r w:rsidRPr="000F5D50">
        <w:rPr>
          <w:rFonts w:cs="Arial"/>
        </w:rPr>
        <w:t xml:space="preserve">; </w:t>
      </w:r>
      <w:r w:rsidRPr="00BE6C43">
        <w:rPr>
          <w:rFonts w:cs="Arial"/>
          <w:highlight w:val="yellow"/>
        </w:rPr>
        <w:t>Littrell et al. 2007</w:t>
      </w:r>
      <w:r w:rsidRPr="000F5D50">
        <w:rPr>
          <w:rFonts w:cs="Arial"/>
        </w:rPr>
        <w:t>).</w:t>
      </w:r>
      <w:r>
        <w:rPr>
          <w:rFonts w:cs="Arial"/>
        </w:rPr>
        <w:t xml:space="preserve"> More specifically, these processes can eliminate local adaptations that adapt Smallmouth Basses to their native environment (Koppelman 2015). </w:t>
      </w:r>
      <w:r w:rsidRPr="001747EE">
        <w:rPr>
          <w:rFonts w:cs="Arial"/>
          <w:i/>
        </w:rPr>
        <w:t>M. d. velox</w:t>
      </w:r>
      <w:r>
        <w:rPr>
          <w:rFonts w:cs="Arial"/>
        </w:rPr>
        <w:t xml:space="preserve"> and </w:t>
      </w:r>
      <w:r w:rsidRPr="001747EE">
        <w:rPr>
          <w:rFonts w:cs="Arial"/>
          <w:i/>
        </w:rPr>
        <w:t>M. d. dolomieu</w:t>
      </w:r>
      <w:r>
        <w:rPr>
          <w:rFonts w:cs="Arial"/>
        </w:rPr>
        <w:t xml:space="preserve"> have been frequently introduced outside their native ranges within the United States and Canada, primarily owing to their relative popularity among anglers (Stroud and Clepper 1975). </w:t>
      </w:r>
    </w:p>
    <w:p w14:paraId="5B4A6E87" w14:textId="77777777" w:rsidR="00DC1EFF" w:rsidRDefault="00DC1EFF">
      <w:pPr>
        <w:rPr>
          <w:rFonts w:cs="Arial"/>
        </w:rPr>
      </w:pPr>
    </w:p>
    <w:p w14:paraId="11DFC982" w14:textId="77777777" w:rsidR="00DC1EFF" w:rsidRDefault="00DC1EFF">
      <w:pPr>
        <w:rPr>
          <w:rFonts w:cs="Arial"/>
        </w:rPr>
      </w:pPr>
    </w:p>
    <w:p w14:paraId="74B7C732" w14:textId="77777777" w:rsidR="00DC1EFF" w:rsidRPr="007B2EB0" w:rsidRDefault="00DC1EFF" w:rsidP="00DC1EFF">
      <w:pPr>
        <w:ind w:firstLine="720"/>
        <w:rPr>
          <w:rFonts w:cs="Arial"/>
        </w:rPr>
      </w:pPr>
      <w:r>
        <w:rPr>
          <w:rFonts w:cs="Arial"/>
        </w:rPr>
        <w:t xml:space="preserve">As the popularity of </w:t>
      </w:r>
      <w:r w:rsidRPr="00B83937">
        <w:rPr>
          <w:rFonts w:cs="Arial"/>
          <w:i/>
        </w:rPr>
        <w:t>M. d. dolomieu</w:t>
      </w:r>
      <w:r>
        <w:rPr>
          <w:rFonts w:cs="Arial"/>
        </w:rPr>
        <w:t xml:space="preserve"> and </w:t>
      </w:r>
      <w:r w:rsidRPr="00B83937">
        <w:rPr>
          <w:rFonts w:cs="Arial"/>
          <w:i/>
        </w:rPr>
        <w:t>M. d. velox</w:t>
      </w:r>
      <w:r>
        <w:rPr>
          <w:rFonts w:cs="Arial"/>
        </w:rPr>
        <w:t xml:space="preserve"> continues to expand in the angling industry, the genetic integrity of the individual subspecies will become increasingly threatened. The conservation and management of the individual subspecies should and will become pressing issues. Although stockers and fish biologists have begun to focus their efforts toward conservation of these taxa in recent years (</w:t>
      </w:r>
      <w:r w:rsidRPr="00F83729">
        <w:rPr>
          <w:rFonts w:cs="Arial"/>
        </w:rPr>
        <w:t>Tringali et al. 2015),</w:t>
      </w:r>
      <w:r>
        <w:rPr>
          <w:rFonts w:cs="Arial"/>
        </w:rPr>
        <w:t xml:space="preserve"> it is necessary to determine how the taxonomy of the black basses will be affected by stocking programs. Even more, it is vital to assess the extent to which a potentially unique Smallmouth Bass form has already been impacted by intermixing with non-native congeners. </w:t>
      </w:r>
    </w:p>
    <w:p w14:paraId="514239FF" w14:textId="77777777" w:rsidR="00DC1EFF" w:rsidRDefault="00DC1EFF"/>
    <w:p w14:paraId="4C578133" w14:textId="77777777" w:rsidR="00D55248" w:rsidRDefault="00D55248"/>
    <w:p w14:paraId="479C2686" w14:textId="5904838D" w:rsidR="00D55248" w:rsidRPr="005E0AE6" w:rsidRDefault="00D55248" w:rsidP="00D55248">
      <w:pPr>
        <w:ind w:firstLine="720"/>
        <w:rPr>
          <w:rFonts w:cs="Arial"/>
        </w:rPr>
      </w:pPr>
      <w:r>
        <w:rPr>
          <w:rFonts w:cs="Arial"/>
        </w:rPr>
        <w:t xml:space="preserve">It is necessary to note that, </w:t>
      </w:r>
    </w:p>
    <w:p w14:paraId="4C7ECDE7" w14:textId="77777777" w:rsidR="00D55248" w:rsidRDefault="00D55248" w:rsidP="00D55248">
      <w:pPr>
        <w:ind w:firstLine="720"/>
        <w:rPr>
          <w:rFonts w:cs="Arial"/>
        </w:rPr>
      </w:pPr>
    </w:p>
    <w:p w14:paraId="7B7521EC" w14:textId="77777777" w:rsidR="00045F80" w:rsidRPr="007B2EB0" w:rsidRDefault="00045F80" w:rsidP="00045F80">
      <w:pPr>
        <w:ind w:firstLine="720"/>
        <w:rPr>
          <w:rFonts w:cs="Arial"/>
        </w:rPr>
      </w:pPr>
      <w:r w:rsidRPr="001747EE">
        <w:rPr>
          <w:rFonts w:cs="Arial"/>
          <w:i/>
        </w:rPr>
        <w:t>M. d. velox</w:t>
      </w:r>
      <w:r>
        <w:rPr>
          <w:rFonts w:cs="Arial"/>
        </w:rPr>
        <w:t xml:space="preserve"> and </w:t>
      </w:r>
      <w:r w:rsidRPr="001747EE">
        <w:rPr>
          <w:rFonts w:cs="Arial"/>
          <w:i/>
        </w:rPr>
        <w:t>M. d. dolomieu</w:t>
      </w:r>
      <w:r>
        <w:rPr>
          <w:rFonts w:cs="Arial"/>
        </w:rPr>
        <w:t xml:space="preserve"> have been frequently introduced outside their native ranges within the United States and Canada, primarily owing to their relative popularity among anglers (Stroud and Clepper 1975). </w:t>
      </w:r>
      <w:r w:rsidRPr="007B2EB0">
        <w:rPr>
          <w:rFonts w:cs="Arial"/>
        </w:rPr>
        <w:t>Smallmouth basses are a well-known sportfish. They are prized for their desirable physical characteristics, including aggressiveness, speed, and relatively large body size (Near et al. 2003). As such, they are highly sought after by competitive anglers and are considered a major asset in many parts of their native range (Brewer and Long 2015). Because of their relative popularity, smallmouths are important for recreational tourism and can have positive economic impacts in local communities (Carey et al. 2011); In the United States, for example, sport-fishing of smallmouth bass has prospered into a billion-dollar industry (</w:t>
      </w:r>
      <w:r w:rsidRPr="00A35AB5">
        <w:rPr>
          <w:rFonts w:cs="Arial"/>
        </w:rPr>
        <w:t>USFWS 2006</w:t>
      </w:r>
      <w:r w:rsidRPr="007B2EB0">
        <w:rPr>
          <w:rFonts w:cs="Arial"/>
          <w:b/>
        </w:rPr>
        <w:t xml:space="preserve">; </w:t>
      </w:r>
      <w:r w:rsidRPr="00F83729">
        <w:rPr>
          <w:rFonts w:cs="Arial"/>
        </w:rPr>
        <w:t>Long et al. 2015</w:t>
      </w:r>
      <w:r w:rsidRPr="007B2EB0">
        <w:rPr>
          <w:rFonts w:cs="Arial"/>
        </w:rPr>
        <w:t xml:space="preserve">). </w:t>
      </w:r>
      <w:r>
        <w:rPr>
          <w:rFonts w:cs="Arial"/>
        </w:rPr>
        <w:t xml:space="preserve">As the popularity of </w:t>
      </w:r>
      <w:r w:rsidRPr="00B83937">
        <w:rPr>
          <w:rFonts w:cs="Arial"/>
          <w:i/>
        </w:rPr>
        <w:t>M. d. dolomieu</w:t>
      </w:r>
      <w:r>
        <w:rPr>
          <w:rFonts w:cs="Arial"/>
        </w:rPr>
        <w:t xml:space="preserve"> and </w:t>
      </w:r>
      <w:r w:rsidRPr="00B83937">
        <w:rPr>
          <w:rFonts w:cs="Arial"/>
          <w:i/>
        </w:rPr>
        <w:t>M. d. velox</w:t>
      </w:r>
      <w:r>
        <w:rPr>
          <w:rFonts w:cs="Arial"/>
        </w:rPr>
        <w:t xml:space="preserve"> continues to expand in the angling industry, the genetic integrity of the individual subspecies will become increasingly threatened. The conservation and management of the individual subspecies should and will become pressing issues. Although stockers and fish biologists have begun to focus their efforts toward conservation of these taxa in recent years (</w:t>
      </w:r>
      <w:r w:rsidRPr="00F83729">
        <w:rPr>
          <w:rFonts w:cs="Arial"/>
        </w:rPr>
        <w:t>Tringali et al. 2015),</w:t>
      </w:r>
      <w:r>
        <w:rPr>
          <w:rFonts w:cs="Arial"/>
        </w:rPr>
        <w:t xml:space="preserve"> it is necessary to determine how the taxonomy of the black basses will be affected by stocking programs. Even more, it is vital to assess the extent to which a potentially unique Smallmouth Bass form has already been impacted by intermixing with non-native congeners. </w:t>
      </w:r>
    </w:p>
    <w:p w14:paraId="57A358EA" w14:textId="77777777" w:rsidR="00045F80" w:rsidRDefault="00045F80" w:rsidP="00045F80">
      <w:pPr>
        <w:rPr>
          <w:rFonts w:cs="Arial"/>
        </w:rPr>
      </w:pPr>
    </w:p>
    <w:p w14:paraId="3C4532EB" w14:textId="77777777" w:rsidR="000B730E" w:rsidRPr="005E0AE6" w:rsidRDefault="000B730E" w:rsidP="000B730E">
      <w:pPr>
        <w:ind w:firstLine="720"/>
        <w:rPr>
          <w:rFonts w:cs="Arial"/>
        </w:rPr>
      </w:pPr>
      <w:r w:rsidRPr="007B2EB0">
        <w:rPr>
          <w:rFonts w:cs="Arial"/>
        </w:rPr>
        <w:t xml:space="preserve">Biologists often </w:t>
      </w:r>
      <w:r>
        <w:rPr>
          <w:rFonts w:cs="Arial"/>
        </w:rPr>
        <w:t xml:space="preserve">observe significant variation between </w:t>
      </w:r>
      <w:r w:rsidRPr="0067529F">
        <w:rPr>
          <w:rFonts w:cs="Arial"/>
          <w:i/>
        </w:rPr>
        <w:t>M. d. velox</w:t>
      </w:r>
      <w:r>
        <w:rPr>
          <w:rFonts w:cs="Arial"/>
        </w:rPr>
        <w:t xml:space="preserve"> and </w:t>
      </w:r>
      <w:r w:rsidRPr="0067529F">
        <w:rPr>
          <w:rFonts w:cs="Arial"/>
          <w:i/>
        </w:rPr>
        <w:t>M. d. dolomieu</w:t>
      </w:r>
      <w:r>
        <w:rPr>
          <w:rFonts w:cs="Arial"/>
        </w:rPr>
        <w:t>. Such variation can suggest possible interspecific</w:t>
      </w:r>
      <w:r w:rsidRPr="007B2EB0">
        <w:rPr>
          <w:rFonts w:cs="Arial"/>
        </w:rPr>
        <w:t xml:space="preserve"> hybridization</w:t>
      </w:r>
      <w:r>
        <w:rPr>
          <w:rFonts w:cs="Arial"/>
        </w:rPr>
        <w:t>—that is, intermixing with non-native congeners—</w:t>
      </w:r>
      <w:r w:rsidRPr="007B2EB0">
        <w:rPr>
          <w:rFonts w:cs="Arial"/>
        </w:rPr>
        <w:t>or</w:t>
      </w:r>
      <w:r>
        <w:rPr>
          <w:rFonts w:cs="Arial"/>
        </w:rPr>
        <w:t xml:space="preserve"> </w:t>
      </w:r>
      <w:r w:rsidRPr="007B2EB0">
        <w:rPr>
          <w:rFonts w:cs="Arial"/>
        </w:rPr>
        <w:t xml:space="preserve">the existence of unclassified taxa (Hubbs and Bailey 1940; Childers 1975). </w:t>
      </w:r>
      <w:r>
        <w:rPr>
          <w:rFonts w:cs="Arial"/>
        </w:rPr>
        <w:t>Potential cases of hybridization and subsequent introgression can be quantified through polymorphic genetic loci (Morizot et al. 1991), so it is not necessary to rely on tenuous morphological distinctions to identify species. In fact, it is imperative not to depend on this kind of data, because the intermixing of species can obscure taxonomic resolution (Koppelman 2015</w:t>
      </w:r>
    </w:p>
    <w:p w14:paraId="079E3FF3" w14:textId="77777777" w:rsidR="00DA3582" w:rsidRDefault="00DA3582" w:rsidP="00DA3582">
      <w:pPr>
        <w:rPr>
          <w:rFonts w:cs="Arial"/>
        </w:rPr>
      </w:pPr>
    </w:p>
    <w:p w14:paraId="793AC460" w14:textId="77777777" w:rsidR="00E72C3F" w:rsidRPr="00E72C3F" w:rsidRDefault="00E72C3F" w:rsidP="00E72C3F">
      <w:pPr>
        <w:tabs>
          <w:tab w:val="left" w:pos="360"/>
          <w:tab w:val="left" w:pos="1080"/>
        </w:tabs>
        <w:rPr>
          <w:rFonts w:eastAsia="Times New Roman" w:cs="Times New Roman"/>
        </w:rPr>
      </w:pPr>
    </w:p>
    <w:p w14:paraId="5F1D11A5" w14:textId="77777777" w:rsidR="00E72C3F" w:rsidRDefault="00E72C3F" w:rsidP="00E72C3F">
      <w:pPr>
        <w:pStyle w:val="ListParagraph"/>
        <w:numPr>
          <w:ilvl w:val="0"/>
          <w:numId w:val="1"/>
        </w:numPr>
        <w:tabs>
          <w:tab w:val="left" w:pos="360"/>
          <w:tab w:val="left" w:pos="1080"/>
          <w:tab w:val="left" w:pos="7470"/>
        </w:tabs>
        <w:ind w:left="900" w:hanging="900"/>
        <w:rPr>
          <w:rFonts w:eastAsia="Times New Roman" w:cs="Arial"/>
          <w:color w:val="222222"/>
          <w:szCs w:val="20"/>
          <w:shd w:val="clear" w:color="auto" w:fill="FFFFFF"/>
        </w:rPr>
      </w:pPr>
      <w:r w:rsidRPr="00B6483A">
        <w:rPr>
          <w:rFonts w:eastAsia="Times New Roman" w:cs="Arial"/>
          <w:color w:val="222222"/>
          <w:szCs w:val="20"/>
          <w:shd w:val="clear" w:color="auto" w:fill="FFFFFF"/>
        </w:rPr>
        <w:t xml:space="preserve">Birdsong, T.W., M.S. Allen, J.E. Claussen, G.P. Garret, T.B. Grabowski, J. Graham, F. Harris, A. Hartzog, D. Hendrickson., R.A. Krausse, J.K. Leitner, J.M. Long, C.K. Metcalf, D.P. Philipp, </w:t>
      </w:r>
      <w:r w:rsidRPr="009E78B8">
        <w:rPr>
          <w:rFonts w:eastAsia="Times New Roman" w:cs="Arial"/>
          <w:color w:val="222222"/>
          <w:szCs w:val="20"/>
          <w:shd w:val="clear" w:color="auto" w:fill="FFFFFF"/>
        </w:rPr>
        <w:t>Porak, W.F., S. Robinson, S.M. Sammons, S.L. Shaw, J.E. Slaughter, and M.D. Tringali. 2015. Native black bass initiative: Implementing watershed-scale approaches to conservation of endemic black bass and other native fishes in the southern United States</w:t>
      </w:r>
      <w:r w:rsidRPr="009E78B8">
        <w:rPr>
          <w:rFonts w:eastAsia="Times New Roman" w:cs="Arial"/>
          <w:i/>
          <w:iCs/>
          <w:color w:val="222222"/>
          <w:szCs w:val="20"/>
        </w:rPr>
        <w:t>. American Fisheries Society Symposium</w:t>
      </w:r>
      <w:r w:rsidRPr="009E78B8">
        <w:rPr>
          <w:rFonts w:eastAsia="Times New Roman" w:cs="Arial"/>
          <w:color w:val="222222"/>
          <w:szCs w:val="20"/>
          <w:shd w:val="clear" w:color="auto" w:fill="FFFFFF"/>
        </w:rPr>
        <w:t> 82: 363 – 378.</w:t>
      </w:r>
    </w:p>
    <w:p w14:paraId="18977DBB" w14:textId="77777777" w:rsidR="004A6103" w:rsidRDefault="004A6103" w:rsidP="004A6103">
      <w:pPr>
        <w:pStyle w:val="ListParagraph"/>
        <w:numPr>
          <w:ilvl w:val="0"/>
          <w:numId w:val="1"/>
        </w:numPr>
        <w:spacing w:line="480" w:lineRule="auto"/>
      </w:pPr>
      <w:r>
        <w:t>To determine whether these subspecies should be considered incipient species on separate evolutionary trajectories, several lines of investigation need to be explored. First, we need to increase our resolution by analyzing differentiation across the entire genome at thousands of single nucleotide polymorphism loci using Next Generation Sequencing (NGS) technology. In addition to immensely increasing the amount of data for inferring marker divergence, genomic analysis could allow us to detect outlier loci which may be indicative of selective pressure. These types of analyses could illuminate the extent to which the subspecies are locally adapted to their respective drainages. NGS data could also be utilized in coalescent modeling to estimate the time since divergence of these lineages. By dating the convergence of alleles, it may be possible to infer whether admixture is a remnant of incomplete lineage sorting or due to more recent hybridization events. Secondly, we need to establish the extent of reproductive isolation between the Neosho and Northern subspecies. Showing behavioral, gametic, or postzygotic isolation through laboratory experimentation would indicate evolutionary divergence and would reveal potential fitness consequences of hybridization. Perhaps more importantly, these analyses could help to understand the likelihood that these allopatric subspecies remain isolated in sympatry.</w:t>
      </w:r>
    </w:p>
    <w:p w14:paraId="540464CE" w14:textId="77777777" w:rsidR="00D55248" w:rsidRDefault="00D55248">
      <w:bookmarkStart w:id="0" w:name="_GoBack"/>
      <w:bookmarkEnd w:id="0"/>
    </w:p>
    <w:sectPr w:rsidR="00D55248" w:rsidSect="00A118A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502097" w14:textId="77777777" w:rsidR="0015626A" w:rsidRDefault="0015626A" w:rsidP="00CC190F">
      <w:r>
        <w:separator/>
      </w:r>
    </w:p>
  </w:endnote>
  <w:endnote w:type="continuationSeparator" w:id="0">
    <w:p w14:paraId="50FE0F60" w14:textId="77777777" w:rsidR="0015626A" w:rsidRDefault="0015626A" w:rsidP="00CC19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2BF3C2" w14:textId="77777777" w:rsidR="0015626A" w:rsidRDefault="0015626A" w:rsidP="00CC190F">
      <w:r>
        <w:separator/>
      </w:r>
    </w:p>
  </w:footnote>
  <w:footnote w:type="continuationSeparator" w:id="0">
    <w:p w14:paraId="42B9FFC7" w14:textId="77777777" w:rsidR="0015626A" w:rsidRDefault="0015626A" w:rsidP="00CC190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3637A1"/>
    <w:multiLevelType w:val="hybridMultilevel"/>
    <w:tmpl w:val="7C266438"/>
    <w:lvl w:ilvl="0" w:tplc="5130EFFE">
      <w:start w:val="1"/>
      <w:numFmt w:val="decimal"/>
      <w:lvlText w:val="%1."/>
      <w:lvlJc w:val="left"/>
      <w:pPr>
        <w:ind w:left="1800" w:hanging="360"/>
      </w:pPr>
      <w:rPr>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6CD3"/>
    <w:rsid w:val="00045F80"/>
    <w:rsid w:val="000B730E"/>
    <w:rsid w:val="0015626A"/>
    <w:rsid w:val="0039299C"/>
    <w:rsid w:val="0040792E"/>
    <w:rsid w:val="004A6103"/>
    <w:rsid w:val="0051239B"/>
    <w:rsid w:val="007F6CD3"/>
    <w:rsid w:val="00885F86"/>
    <w:rsid w:val="00895E22"/>
    <w:rsid w:val="00960F43"/>
    <w:rsid w:val="009646E9"/>
    <w:rsid w:val="00A118A1"/>
    <w:rsid w:val="00AE5AE3"/>
    <w:rsid w:val="00B32111"/>
    <w:rsid w:val="00CC190F"/>
    <w:rsid w:val="00D55248"/>
    <w:rsid w:val="00DA3582"/>
    <w:rsid w:val="00DC1EFF"/>
    <w:rsid w:val="00E335C1"/>
    <w:rsid w:val="00E72C3F"/>
    <w:rsid w:val="00EB0BA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572B87D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C190F"/>
    <w:pPr>
      <w:tabs>
        <w:tab w:val="center" w:pos="4680"/>
        <w:tab w:val="right" w:pos="9360"/>
      </w:tabs>
    </w:pPr>
  </w:style>
  <w:style w:type="character" w:customStyle="1" w:styleId="HeaderChar">
    <w:name w:val="Header Char"/>
    <w:basedOn w:val="DefaultParagraphFont"/>
    <w:link w:val="Header"/>
    <w:uiPriority w:val="99"/>
    <w:rsid w:val="00CC190F"/>
  </w:style>
  <w:style w:type="paragraph" w:styleId="Footer">
    <w:name w:val="footer"/>
    <w:basedOn w:val="Normal"/>
    <w:link w:val="FooterChar"/>
    <w:uiPriority w:val="99"/>
    <w:unhideWhenUsed/>
    <w:rsid w:val="00CC190F"/>
    <w:pPr>
      <w:tabs>
        <w:tab w:val="center" w:pos="4680"/>
        <w:tab w:val="right" w:pos="9360"/>
      </w:tabs>
    </w:pPr>
  </w:style>
  <w:style w:type="character" w:customStyle="1" w:styleId="FooterChar">
    <w:name w:val="Footer Char"/>
    <w:basedOn w:val="DefaultParagraphFont"/>
    <w:link w:val="Footer"/>
    <w:uiPriority w:val="99"/>
    <w:rsid w:val="00CC190F"/>
  </w:style>
  <w:style w:type="paragraph" w:styleId="ListParagraph">
    <w:name w:val="List Paragraph"/>
    <w:basedOn w:val="Normal"/>
    <w:uiPriority w:val="34"/>
    <w:qFormat/>
    <w:rsid w:val="00E335C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1137</Words>
  <Characters>6486</Characters>
  <Application>Microsoft Macintosh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7608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Gunn, Joseph (MU-Student)</dc:creator>
  <cp:keywords/>
  <dc:description/>
  <cp:lastModifiedBy>Gunn, Joseph C.</cp:lastModifiedBy>
  <cp:revision>5</cp:revision>
  <dcterms:created xsi:type="dcterms:W3CDTF">2017-03-29T14:21:00Z</dcterms:created>
  <dcterms:modified xsi:type="dcterms:W3CDTF">2018-09-20T20:56:00Z</dcterms:modified>
</cp:coreProperties>
</file>